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jc w:val="center"/>
      </w:pPr>
      <w:r>
        <w:rPr>
          <w:b/>
          <w:bCs/>
          <w:color w:val="1E40AF"/>
          <w:sz w:val="56"/>
          <w:szCs w:val="56"/>
        </w:rPr>
        <w:t xml:space="preserve">Remote Access Platform</w:t>
      </w:r>
    </w:p>
    <w:p>
      <w:pPr>
        <w:spacing w:after="120"/>
        <w:jc w:val="center"/>
      </w:pPr>
      <w:r>
        <w:rPr>
          <w:color w:val="475569"/>
          <w:sz w:val="32"/>
          <w:szCs w:val="32"/>
        </w:rPr>
        <w:t xml:space="preserve">Product Requirements &amp; Build Plan</w:t>
      </w:r>
    </w:p>
    <w:p>
      <w:pPr>
        <w:spacing w:before="600"/>
        <w:jc w:val="center"/>
      </w:pPr>
      <w:r>
        <w:rPr>
          <w:i/>
          <w:iCs/>
          <w:color w:val="64748B"/>
          <w:sz w:val="24"/>
          <w:szCs w:val="24"/>
        </w:rPr>
        <w:t xml:space="preserve">Secure remote support for IT teams</w:t>
      </w:r>
    </w:p>
    <w:p>
      <w:pPr>
        <w:spacing w:before="2400"/>
        <w:jc w:val="center"/>
      </w:pPr>
      <w:r>
        <w:rPr>
          <w:sz w:val="22"/>
          <w:szCs w:val="22"/>
        </w:rPr>
        <w:t xml:space="preserve">Prepared for: Sriram  ·  Product Analyst</w:t>
      </w:r>
    </w:p>
    <w:p>
      <w:pPr>
        <w:jc w:val="center"/>
      </w:pPr>
      <w:r>
        <w:rPr>
          <w:color w:val="64748B"/>
          <w:sz w:val="22"/>
          <w:szCs w:val="22"/>
        </w:rPr>
        <w:t xml:space="preserve">June 2026  ·  Draft v1.0</w:t>
      </w:r>
    </w:p>
    <w:p>
      <w:r>
        <w:br w:type="page"/>
      </w:r>
    </w:p>
    <w:p>
      <w:pPr>
        <w:pStyle w:val="Heading1"/>
      </w:pPr>
      <w: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How to read this document</w:t>
      </w:r>
    </w:p>
    <w:p>
      <w:pPr>
        <w:spacing w:after="120"/>
      </w:pPr>
      <w:r>
        <w:t xml:space="preserve">This document has two halves. Part A is the Product Requirements Document (PRD) — what the product is, who it serves, and what it must do. It is written so you can hand it to a developer or an agency and they will understand exactly what to build.</w:t>
      </w:r>
    </w:p>
    <w:p>
      <w:pPr>
        <w:spacing w:after="120"/>
      </w:pPr>
      <w:r>
        <w:t xml:space="preserve">Part B is a build plan written for you, a non-developer. It explains, in plain language, how a product like this actually gets built and run: what the hard parts are, who you need, how long it takes, and what it costs. Read Part B first if you want the practical picture before the specification.</w:t>
      </w:r>
    </w:p>
    <w:p>
      <w:pPr>
        <w:spacing w:after="120"/>
      </w:pPr>
      <w:r>
        <w:rPr>
          <w:i/>
          <w:iCs/>
        </w:rPr>
        <w:t xml:space="preserve">You have already seen a working demo of the core experience — secure login, machine enrollment, a consent prompt, and live screen sharing — running on your own computer. This document is the plan to turn that demo into a real product.</w:t>
      </w:r>
    </w:p>
    <w:p>
      <w:r>
        <w:br w:type="page"/>
      </w:r>
    </w:p>
    <w:p>
      <w:pPr>
        <w:pStyle w:val="Heading1"/>
        <w:spacing w:after="200"/>
      </w:pPr>
      <w:r>
        <w:rPr>
          <w:color w:val="1E40AF"/>
        </w:rPr>
        <w:t xml:space="preserve">Part A — Product Requirements</w:t>
      </w:r>
    </w:p>
    <w:p>
      <w:pPr>
        <w:pStyle w:val="Heading2"/>
      </w:pPr>
      <w:r>
        <w:t xml:space="preserve">1. The problem</w:t>
      </w:r>
    </w:p>
    <w:p>
      <w:pPr>
        <w:spacing w:after="120"/>
      </w:pPr>
      <w:r>
        <w:t xml:space="preserve">IT support technicians need fast, secure, reliable access to end-user PCs. The established tools have lost customer trust: TeamViewer through aggressive renewal pricing and false “commercial use” flags, AnyDesk through unpredictable connection-based pricing. Free tools such as Chrome Remote Desktop and Windows Quick Assist lack the basics businesses need — two-factor login, audit logs, multiple sessions, and unattended access. The leading open-source option, RustDesk, proves there is demand for an affordable, self-hostable tool but frustrates users with unreliable connections, a rough interface, and no support line.</w:t>
      </w:r>
    </w:p>
    <w:p>
      <w:pPr>
        <w:spacing w:after="120"/>
      </w:pPr>
      <w:r>
        <w:t xml:space="preserve">The opportunity: IT teams of roughly 2 to 10 technicians who need security essentials and reliability at a fair, predictable price. They are too big for free tools and unwilling to pay enterprise prices or tolerate enterprise pricing games.</w:t>
      </w:r>
    </w:p>
    <w:p>
      <w:pPr>
        <w:pStyle w:val="Heading2"/>
      </w:pPr>
      <w:r>
        <w:t xml:space="preserve">2. Goals and non-goals</w:t>
      </w:r>
    </w:p>
    <w:p>
      <w:pPr>
        <w:spacing w:after="120"/>
      </w:pPr>
      <w:r>
        <w:rPr>
          <w:b/>
          <w:bCs/>
        </w:rPr>
        <w:t xml:space="preserve">Goals for version 1:</w:t>
      </w:r>
    </w:p>
    <w:p>
      <w:pPr>
        <w:pStyle w:val="ListParagraph"/>
        <w:numPr>
          <w:ilvl w:val="0"/>
          <w:numId w:val="2"/>
        </w:numPr>
        <w:spacing w:after="60"/>
      </w:pPr>
      <w:r>
        <w:t xml:space="preserve">A technician can start a support session in under 60 seconds, with nothing pre-installed on the end user's machine.</w:t>
      </w:r>
    </w:p>
    <w:p>
      <w:pPr>
        <w:pStyle w:val="ListParagraph"/>
        <w:numPr>
          <w:ilvl w:val="0"/>
          <w:numId w:val="2"/>
        </w:numPr>
        <w:spacing w:after="60"/>
      </w:pPr>
      <w:r>
        <w:t xml:space="preserve">Unattended access to managed machines, with per-machine consent policies.</w:t>
      </w:r>
    </w:p>
    <w:p>
      <w:pPr>
        <w:pStyle w:val="ListParagraph"/>
        <w:numPr>
          <w:ilvl w:val="0"/>
          <w:numId w:val="2"/>
        </w:numPr>
        <w:spacing w:after="60"/>
      </w:pPr>
      <w:r>
        <w:t xml:space="preserve">Security essentials in every plan: two-factor authentication, role-based access, audit logs, encrypted connections.</w:t>
      </w:r>
    </w:p>
    <w:p>
      <w:pPr>
        <w:pStyle w:val="ListParagraph"/>
        <w:numPr>
          <w:ilvl w:val="0"/>
          <w:numId w:val="2"/>
        </w:numPr>
        <w:spacing w:after="60"/>
      </w:pPr>
      <w:r>
        <w:t xml:space="preserve">Transparent flat per-technician pricing — no metering, no surprise renewal increases.</w:t>
      </w:r>
    </w:p>
    <w:p>
      <w:pPr>
        <w:spacing w:after="120"/>
      </w:pPr>
      <w:r>
        <w:rPr>
          <w:b/>
          <w:bCs/>
        </w:rPr>
        <w:t xml:space="preserve">Out of scope for version 1:</w:t>
      </w:r>
    </w:p>
    <w:p>
      <w:pPr>
        <w:pStyle w:val="ListParagraph"/>
        <w:numPr>
          <w:ilvl w:val="0"/>
          <w:numId w:val="3"/>
        </w:numPr>
        <w:spacing w:after="60"/>
      </w:pPr>
      <w:r>
        <w:t xml:space="preserve">Full IT management suite (patching, monitoring, scripting) — integrate later, don't build it now.</w:t>
      </w:r>
    </w:p>
    <w:p>
      <w:pPr>
        <w:pStyle w:val="ListParagraph"/>
        <w:numPr>
          <w:ilvl w:val="0"/>
          <w:numId w:val="3"/>
        </w:numPr>
        <w:spacing w:after="60"/>
      </w:pPr>
      <w:r>
        <w:t xml:space="preserve">Mobile phone or tablet as the controlled machine.</w:t>
      </w:r>
    </w:p>
    <w:p>
      <w:pPr>
        <w:pStyle w:val="ListParagraph"/>
        <w:numPr>
          <w:ilvl w:val="0"/>
          <w:numId w:val="3"/>
        </w:numPr>
        <w:spacing w:after="60"/>
      </w:pPr>
      <w:r>
        <w:t xml:space="preserve">Self-hosted deployment — validate demand first, but don't design in a way that blocks it.</w:t>
      </w:r>
    </w:p>
    <w:p>
      <w:pPr>
        <w:pStyle w:val="ListParagraph"/>
        <w:numPr>
          <w:ilvl w:val="0"/>
          <w:numId w:val="3"/>
        </w:numPr>
        <w:spacing w:after="60"/>
      </w:pPr>
      <w:r>
        <w:t xml:space="preserve">Consumer / personal use.</w:t>
      </w:r>
    </w:p>
    <w:p>
      <w:pPr>
        <w:pStyle w:val="Heading2"/>
      </w:pPr>
      <w:r>
        <w:t xml:space="preserve">3. Who it is for</w:t>
      </w:r>
    </w:p>
    <w:p>
      <w:pPr>
        <w:spacing w:after="120"/>
      </w:pPr>
      <w:r>
        <w:t xml:space="preserve">Priya — Helpdesk technician (primary user). Handles 15–30 tickets a day. Needs instant sessions, multi-monitor support, file transfer, and the ability to jump between several machines. Frustrated by clunky onboarding and dropped connections.</w:t>
      </w:r>
    </w:p>
    <w:p>
      <w:pPr>
        <w:spacing w:after="120"/>
      </w:pPr>
      <w:r>
        <w:t xml:space="preserve">Marcus — IT manager (the buyer). Manages five technicians supporting 800 machines. Needs predictable cost, an audit trail for compliance, role-based permissions, and easy technician onboarding and offboarding. Frustrated by renewal-price shocks.</w:t>
      </w:r>
    </w:p>
    <w:p>
      <w:pPr>
        <w:spacing w:after="120"/>
      </w:pPr>
      <w:r>
        <w:t xml:space="preserve">Dana — End user (the person being helped). Non-technical. Needs a zero-install, obvious consent step, and a visible indicator while someone is controlling her machine. Frustrated by scary download prompts.</w:t>
      </w:r>
    </w:p>
    <w:p>
      <w:pPr>
        <w:pStyle w:val="Heading2"/>
      </w:pPr>
      <w:r>
        <w:t xml:space="preserve">4. Core use cases</w:t>
      </w:r>
    </w:p>
    <w:p>
      <w:pPr>
        <w:pStyle w:val="ListParagraph"/>
        <w:numPr>
          <w:ilvl w:val="0"/>
          <w:numId w:val="2"/>
        </w:numPr>
        <w:spacing w:after="60"/>
      </w:pPr>
      <w:r>
        <w:rPr>
          <w:b/>
          <w:bCs/>
        </w:rPr>
        <w:t xml:space="preserve">Attended support (the wedge).</w:t>
      </w:r>
      <w:r>
        <w:t xml:space="preserve"> Dana calls. Priya sends a code or link. Dana approves; Priya views and controls. Session ends and is logged automatically.</w:t>
      </w:r>
    </w:p>
    <w:p>
      <w:pPr>
        <w:pStyle w:val="ListParagraph"/>
        <w:numPr>
          <w:ilvl w:val="0"/>
          <w:numId w:val="2"/>
        </w:numPr>
        <w:spacing w:after="60"/>
      </w:pPr>
      <w:r>
        <w:rPr>
          <w:b/>
          <w:bCs/>
        </w:rPr>
        <w:t xml:space="preserve">Unattended maintenance.</w:t>
      </w:r>
      <w:r>
        <w:t xml:space="preserve"> Priya connects to a server or an approved machine after hours, per policy set by Marcus.</w:t>
      </w:r>
    </w:p>
    <w:p>
      <w:pPr>
        <w:pStyle w:val="ListParagraph"/>
        <w:numPr>
          <w:ilvl w:val="0"/>
          <w:numId w:val="2"/>
        </w:numPr>
        <w:spacing w:after="60"/>
      </w:pPr>
      <w:r>
        <w:rPr>
          <w:b/>
          <w:bCs/>
        </w:rPr>
        <w:t xml:space="preserve">Audit and compliance.</w:t>
      </w:r>
      <w:r>
        <w:t xml:space="preserve"> Marcus exports a record of who accessed which machine, when, and with what consent.</w:t>
      </w:r>
    </w:p>
    <w:p>
      <w:pPr>
        <w:pStyle w:val="ListParagraph"/>
        <w:numPr>
          <w:ilvl w:val="0"/>
          <w:numId w:val="2"/>
        </w:numPr>
        <w:spacing w:after="60"/>
      </w:pPr>
      <w:r>
        <w:rPr>
          <w:b/>
          <w:bCs/>
        </w:rPr>
        <w:t xml:space="preserve">Team administration.</w:t>
      </w:r>
      <w:r>
        <w:t xml:space="preserve"> Marcus adds a technician, assigns a role, and revokes access on departure in one click.</w:t>
      </w:r>
    </w:p>
    <w:p>
      <w:pPr>
        <w:pStyle w:val="Heading2"/>
      </w:pPr>
      <w:r>
        <w:t xml:space="preserve">5. Feature requirements</w:t>
      </w:r>
    </w:p>
    <w:p>
      <w:pPr>
        <w:spacing w:after="120"/>
      </w:pPr>
      <w:r>
        <w:rPr>
          <w:i/>
          <w:iCs/>
          <w:sz w:val="20"/>
          <w:szCs w:val="20"/>
        </w:rPr>
        <w:t xml:space="preserve">Priority key: P0 = required for first launch; P1 = within three months of launch; P2 = later.</w:t>
      </w:r>
    </w:p>
    <w:p>
      <w:pPr>
        <w:spacing w:after="120"/>
      </w:pPr>
      <w:r>
        <w:rPr>
          <w:b/>
          <w:bCs/>
        </w:rPr>
        <w:t xml:space="preserve">Connectivity and sessions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rPr>
          <w:tblHeader/>
        </w:trPr>
        <w:tc>
          <w:tcPr>
            <w:tcW w:type="dxa" w:w="720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Feature</w:t>
            </w:r>
          </w:p>
        </w:tc>
        <w:tc>
          <w:tcPr>
            <w:tcW w:type="dxa" w:w="216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Priority</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Attended session via code or link; end user runs in a browser or one-click client</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Native host agent (Windows first, then macOS) for full control and unattended access</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Peer-to-peer connection with relay fallback; 99%+ connection success</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Automatic quality adjustment on slow connections</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Multiple monitors; switching between them</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P1</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File transfer and clipboard sync</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P1</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Several simultaneous sessions per technician</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P1</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In-session chat; session handoff between technicians</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P2</w:t>
            </w:r>
          </w:p>
        </w:tc>
      </w:tr>
    </w:tbl>
    <w:p>
      <w:pPr>
        <w:spacing w:after="120"/>
      </w:pPr>
      <w:r>
        <w:rPr>
          <w:b/>
          <w:bCs/>
        </w:rPr>
        <w:t xml:space="preserve">Security and trust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rPr>
          <w:tblHeader/>
        </w:trPr>
        <w:tc>
          <w:tcPr>
            <w:tcW w:type="dxa" w:w="720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Feature</w:t>
            </w:r>
          </w:p>
        </w:tc>
        <w:tc>
          <w:tcPr>
            <w:tcW w:type="dxa" w:w="216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Priority</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End-to-end encrypted screen and control channels</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Two-factor authentication for technician accounts</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Roles: admin / technician / view-only</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Immutable audit log: who, which machine, when, consent, duration</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End-user consent screen and a persistent on-screen indicator</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Per-machine unattended-access policies</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P1</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Session recording (opt-in)</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P1</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Single sign-on; start SOC 2 certification</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P1</w:t>
            </w:r>
          </w:p>
        </w:tc>
      </w:tr>
    </w:tbl>
    <w:p>
      <w:pPr>
        <w:spacing w:after="120"/>
      </w:pPr>
      <w:r>
        <w:rPr>
          <w:b/>
          <w:bCs/>
        </w:rPr>
        <w:t xml:space="preserve">Administration and billing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rPr>
          <w:tblHeader/>
        </w:trPr>
        <w:tc>
          <w:tcPr>
            <w:tcW w:type="dxa" w:w="720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Feature</w:t>
            </w:r>
          </w:p>
        </w:tc>
        <w:tc>
          <w:tcPr>
            <w:tcW w:type="dxa" w:w="216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Priority</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Team workspace: invite/remove technicians, group machines</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Flat per-technician pricing; self-serve signup</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P0</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Audit log export</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P1</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Usage dashboard</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P1</w:t>
            </w:r>
          </w:p>
        </w:tc>
      </w:tr>
      <w:tr>
        <w:trPr>
          <w:tblHeader w:val="false"/>
        </w:trPr>
        <w:tc>
          <w:tcPr>
            <w:tcW w:type="dxa" w:w="7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Ticketing integrations (Zendesk, Freshdesk, Jira)</w:t>
            </w:r>
          </w:p>
        </w:tc>
        <w:tc>
          <w:tcPr>
            <w:tcW w:type="dxa" w:w="2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P2</w:t>
            </w:r>
          </w:p>
        </w:tc>
      </w:tr>
    </w:tbl>
    <w:p>
      <w:pPr>
        <w:pStyle w:val="Heading2"/>
      </w:pPr>
      <w:r>
        <w:t xml:space="preserve">6. What “version 1” means</w:t>
      </w:r>
    </w:p>
    <w:p>
      <w:pPr>
        <w:spacing w:after="120"/>
      </w:pPr>
      <w:r>
        <w:t xml:space="preserve">The first shippable product includes: attended and basic unattended sessions, a Windows host agent with a browser-based technician view, two-factor login, roles, audit logging, peer-to-peer connection with relay fallback, and flat published pricing. It deliberately excludes macOS/Linux agents, recording, single sign-on, integrations, and mobile.</w:t>
      </w:r>
    </w:p>
    <w:p>
      <w:pPr>
        <w:spacing w:after="120"/>
      </w:pPr>
      <w:r>
        <w:rPr>
          <w:i/>
          <w:iCs/>
        </w:rPr>
        <w:t xml:space="preserve">Acceptance bar: a five-technician team can replace TeamViewer for attended Windows support on day one, with two-factor login and audit logs, at a price they can see on the website.</w:t>
      </w:r>
    </w:p>
    <w:p>
      <w:pPr>
        <w:pStyle w:val="Heading2"/>
      </w:pPr>
      <w:r>
        <w:t xml:space="preserve">7. How we will measure success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Metric</w:t>
            </w:r>
          </w:p>
        </w:tc>
        <w:tc>
          <w:tcPr>
            <w:tcW w:type="dxa" w:w="468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Target (6 months after launch)</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Time from signup to first connected session</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Under 10 minutes</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Connection success rate</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99% or higher</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Session setup time</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Under 60 seconds</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Active teams (2+ technicians) per week</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100</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Free-to-paid conversion</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5% or higher</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Monthly churn (paid teams)</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Under 3%</w:t>
            </w:r>
          </w:p>
        </w:tc>
      </w:tr>
    </w:tbl>
    <w:p>
      <w:pPr>
        <w:pStyle w:val="Heading2"/>
      </w:pPr>
      <w:r>
        <w:t xml:space="preserve">8. Pricing hypothesis</w:t>
      </w:r>
    </w:p>
    <w:p>
      <w:pPr>
        <w:spacing w:after="120"/>
      </w:pPr>
      <w:r>
        <w:t xml:space="preserve">A flat $15–25 per technician per month, with unlimited sessions and machines and all security features included. A free tier covers one technician, attended-only, with three unattended machines. This undercuts ScreenConnect ($30–55) and TeamViewer ($50+), and beats Zoho Assist on reliability. The deliberate message: no metering, no surprises. This must be validated in customer interviews before launch.</w:t>
      </w:r>
    </w:p>
    <w:p>
      <w:r>
        <w:br w:type="page"/>
      </w:r>
    </w:p>
    <w:p>
      <w:pPr>
        <w:pStyle w:val="Heading1"/>
        <w:spacing w:after="200"/>
      </w:pPr>
      <w:r>
        <w:rPr>
          <w:color w:val="1E40AF"/>
        </w:rPr>
        <w:t xml:space="preserve">Part B — How to actually build it</w:t>
      </w:r>
    </w:p>
    <w:p>
      <w:pPr>
        <w:spacing w:after="120"/>
      </w:pPr>
      <w:r>
        <w:rPr>
          <w:i/>
          <w:iCs/>
        </w:rPr>
        <w:t xml:space="preserve">Written in plain language for a non-developer. This is the honest version of what it takes.</w:t>
      </w:r>
    </w:p>
    <w:p>
      <w:pPr>
        <w:pStyle w:val="Heading2"/>
      </w:pPr>
      <w:r>
        <w:t xml:space="preserve">9. The three hard parts (and why they matter)</w:t>
      </w:r>
    </w:p>
    <w:p>
      <w:pPr>
        <w:spacing w:after="120"/>
      </w:pPr>
      <w:r>
        <w:t xml:space="preserve">Most of a remote-access product is straightforward software. Three parts are genuinely hard, and they are exactly the parts the demo on your computer does not yet solve:</w:t>
      </w:r>
    </w:p>
    <w:p>
      <w:pPr>
        <w:pStyle w:val="ListParagraph"/>
        <w:numPr>
          <w:ilvl w:val="0"/>
          <w:numId w:val="2"/>
        </w:numPr>
        <w:spacing w:after="60"/>
      </w:pPr>
      <w:r>
        <w:rPr>
          <w:b/>
          <w:bCs/>
        </w:rPr>
        <w:t xml:space="preserve">Connecting two PCs on different networks.</w:t>
      </w:r>
      <w:r>
        <w:t xml:space="preserve"> When both machines are in the same office, they find each other easily. Across the internet — your office to a customer's home — they usually cannot connect directly. You need a “relay” server (called a TURN server) that sits in the middle and forwards the screen. This is the single biggest reason TeamViewer and AnyDesk “just work” anywhere: they run thousands of these relays. You will need at least one.</w:t>
      </w:r>
    </w:p>
    <w:p>
      <w:pPr>
        <w:pStyle w:val="ListParagraph"/>
        <w:numPr>
          <w:ilvl w:val="0"/>
          <w:numId w:val="2"/>
        </w:numPr>
        <w:spacing w:after="60"/>
      </w:pPr>
      <w:r>
        <w:rPr>
          <w:b/>
          <w:bCs/>
        </w:rPr>
        <w:t xml:space="preserve">A server that is always on.</w:t>
      </w:r>
      <w:r>
        <w:t xml:space="preserve"> The demo's server runs on your laptop at “localhost.” For a real product it must live on a cloud service with a permanent web address, running 24/7, so technicians and machines can always reach it.</w:t>
      </w:r>
    </w:p>
    <w:p>
      <w:pPr>
        <w:pStyle w:val="ListParagraph"/>
        <w:numPr>
          <w:ilvl w:val="0"/>
          <w:numId w:val="2"/>
        </w:numPr>
        <w:spacing w:after="60"/>
      </w:pPr>
      <w:r>
        <w:rPr>
          <w:b/>
          <w:bCs/>
        </w:rPr>
        <w:t xml:space="preserve">Real mouse and keyboard control.</w:t>
      </w:r>
      <w:r>
        <w:t xml:space="preserve"> A browser can show a screen but cannot move someone else's mouse. That requires a small program (the “agent”) installed on the controlled PC, packaged into a proper signed installer so Windows trusts it. Code-signing requires a certificate that costs a few hundred dollars a year.</w:t>
      </w:r>
    </w:p>
    <w:p>
      <w:pPr>
        <w:spacing w:after="120"/>
      </w:pPr>
      <w:r>
        <w:t xml:space="preserve">None of these are exotic — experienced developers solve them routinely — but they are not things you can complete by running scripts. They are the work.</w:t>
      </w:r>
    </w:p>
    <w:p>
      <w:pPr>
        <w:pStyle w:val="Heading2"/>
      </w:pPr>
      <w:r>
        <w:t xml:space="preserve">10. Who you need</w:t>
      </w:r>
    </w:p>
    <w:p>
      <w:pPr>
        <w:spacing w:after="120"/>
      </w:pPr>
      <w:r>
        <w:t xml:space="preserve">You do not need a large team to reach a first version. Realistically: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560"/>
        <w:gridCol w:w="2400"/>
      </w:tblGrid>
      <w:tr>
        <w:trPr>
          <w:tblHeader/>
        </w:trPr>
        <w:tc>
          <w:tcPr>
            <w:tcW w:type="dxa" w:w="240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Role</w:t>
            </w:r>
          </w:p>
        </w:tc>
        <w:tc>
          <w:tcPr>
            <w:tcW w:type="dxa" w:w="456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What they do</w:t>
            </w:r>
          </w:p>
        </w:tc>
        <w:tc>
          <w:tcPr>
            <w:tcW w:type="dxa" w:w="240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When</w:t>
            </w:r>
          </w:p>
        </w:tc>
      </w:tr>
      <w:tr>
        <w:trPr>
          <w:tblHeader w:val="false"/>
        </w:trPr>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Full-stack developer</w:t>
            </w:r>
          </w:p>
        </w:tc>
        <w:tc>
          <w:tcPr>
            <w:tcW w:type="dxa" w:w="4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Builds the server, dashboard, accounts, billing</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From day one</w:t>
            </w:r>
          </w:p>
        </w:tc>
      </w:tr>
      <w:tr>
        <w:trPr>
          <w:tblHeader w:val="false"/>
        </w:trPr>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Systems / WebRTC developer</w:t>
            </w:r>
          </w:p>
        </w:tc>
        <w:tc>
          <w:tcPr>
            <w:tcW w:type="dxa" w:w="4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Sets up the relay servers and the connection layer</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From day one</w:t>
            </w:r>
          </w:p>
        </w:tc>
      </w:tr>
      <w:tr>
        <w:trPr>
          <w:tblHeader w:val="false"/>
        </w:trPr>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Desktop developer (Windows)</w:t>
            </w:r>
          </w:p>
        </w:tc>
        <w:tc>
          <w:tcPr>
            <w:tcW w:type="dxa" w:w="4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Builds and signs the installable agent</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Month 2 onward</w:t>
            </w:r>
          </w:p>
        </w:tc>
      </w:tr>
      <w:tr>
        <w:trPr>
          <w:tblHeader w:val="false"/>
        </w:trPr>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You (product)</w:t>
            </w:r>
          </w:p>
        </w:tc>
        <w:tc>
          <w:tcPr>
            <w:tcW w:type="dxa" w:w="45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Customer interviews, priorities, design decisions, go-to-market</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Throughout</w:t>
            </w:r>
          </w:p>
        </w:tc>
      </w:tr>
    </w:tbl>
    <w:p>
      <w:pPr>
        <w:spacing w:after="120"/>
      </w:pPr>
      <w:r>
        <w:t xml:space="preserve">This can be one or two strong generalist developers wearing several hats, an agency, or a technical co-founder. A technical co-founder is the most aligned option for a company; an agency is fastest to start but more expensive over time.</w:t>
      </w:r>
    </w:p>
    <w:p>
      <w:pPr>
        <w:pStyle w:val="Heading2"/>
      </w:pPr>
      <w:r>
        <w:t xml:space="preserve">11. Phases and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160"/>
        <w:gridCol w:w="2400"/>
      </w:tblGrid>
      <w:tr>
        <w:trPr>
          <w:tblHeader/>
        </w:trPr>
        <w:tc>
          <w:tcPr>
            <w:tcW w:type="dxa" w:w="180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Phase</w:t>
            </w:r>
          </w:p>
        </w:tc>
        <w:tc>
          <w:tcPr>
            <w:tcW w:type="dxa" w:w="516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What happens</w:t>
            </w:r>
          </w:p>
        </w:tc>
        <w:tc>
          <w:tcPr>
            <w:tcW w:type="dxa" w:w="240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Rough time</w:t>
            </w:r>
          </w:p>
        </w:tc>
      </w:tr>
      <w:tr>
        <w:trPr>
          <w:tblHeader w:val="false"/>
        </w:trPr>
        <w:tc>
          <w:tcPr>
            <w:tcW w:type="dxa" w:w="1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Discovery</w:t>
            </w:r>
          </w:p>
        </w:tc>
        <w:tc>
          <w:tcPr>
            <w:tcW w:type="dxa" w:w="5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You interview 15 IT admins to validate the problem, pricing, and whether self-hosting matters. Little or no code.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3–4 weeks</w:t>
            </w:r>
          </w:p>
        </w:tc>
      </w:tr>
      <w:tr>
        <w:trPr>
          <w:tblHeader w:val="false"/>
        </w:trPr>
        <w:tc>
          <w:tcPr>
            <w:tcW w:type="dxa" w:w="1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Alpha</w:t>
            </w:r>
          </w:p>
        </w:tc>
        <w:tc>
          <w:tcPr>
            <w:tcW w:type="dxa" w:w="5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Developers host the server in the cloud, stand up a relay, and build the signed Windows agent on top of the existing codebase.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8–10 weeks</w:t>
            </w:r>
          </w:p>
        </w:tc>
      </w:tr>
      <w:tr>
        <w:trPr>
          <w:tblHeader w:val="false"/>
        </w:trPr>
        <w:tc>
          <w:tcPr>
            <w:tcW w:type="dxa" w:w="1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Private beta</w:t>
            </w:r>
          </w:p>
        </w:tc>
        <w:tc>
          <w:tcPr>
            <w:tcW w:type="dxa" w:w="5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10–20 friendly IT teams use it daily. You add audit export, roles, and fix what breaks.</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6–8 weeks</w:t>
            </w:r>
          </w:p>
        </w:tc>
      </w:tr>
      <w:tr>
        <w:trPr>
          <w:tblHeader w:val="false"/>
        </w:trPr>
        <w:tc>
          <w:tcPr>
            <w:tcW w:type="dxa" w:w="18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Launch</w:t>
            </w:r>
          </w:p>
        </w:tc>
        <w:tc>
          <w:tcPr>
            <w:tcW w:type="dxa" w:w="51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Self-serve signup, billing, published pricing, a basic website.</w:t>
            </w:r>
          </w:p>
        </w:tc>
        <w:tc>
          <w:tcPr>
            <w:tcW w:type="dxa" w:w="24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4–6 weeks</w:t>
            </w:r>
          </w:p>
        </w:tc>
      </w:tr>
    </w:tbl>
    <w:p>
      <w:pPr>
        <w:spacing w:after="120"/>
      </w:pPr>
      <w:r>
        <w:rPr>
          <w:i/>
          <w:iCs/>
        </w:rPr>
        <w:t xml:space="preserve">Total to a paid launch: roughly five to seven months with a committed small team. The codebase and demo you already have shorten the alpha because the core design is proven.</w:t>
      </w:r>
    </w:p>
    <w:p>
      <w:pPr>
        <w:pStyle w:val="Heading2"/>
      </w:pPr>
      <w:r>
        <w:t xml:space="preserve">12. What it costs</w:t>
      </w:r>
    </w:p>
    <w:p>
      <w:pPr>
        <w:spacing w:after="120"/>
      </w:pPr>
      <w:r>
        <w:t xml:space="preserve">These are industry ballpark figures for 2026, not quotes. They vary widely with team location and scope.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Item</w:t>
            </w:r>
          </w:p>
        </w:tc>
        <w:tc>
          <w:tcPr>
            <w:tcW w:type="dxa" w:w="4680"/>
            <w:tcBorders>
              <w:top w:val="single" w:color="CBD5E1" w:sz="1"/>
              <w:left w:val="single" w:color="CBD5E1" w:sz="1"/>
              <w:bottom w:val="single" w:color="CBD5E1" w:sz="1"/>
              <w:right w:val="single" w:color="CBD5E1" w:sz="1"/>
            </w:tcBorders>
            <w:shd w:fill="1E40AF" w:val="clear"/>
            <w:tcMar>
              <w:top w:type="dxa" w:w="80"/>
              <w:left w:type="dxa" w:w="120"/>
              <w:bottom w:type="dxa" w:w="80"/>
              <w:right w:type="dxa" w:w="120"/>
            </w:tcMar>
          </w:tcPr>
          <w:p>
            <w:r>
              <w:rPr>
                <w:b/>
                <w:bCs/>
                <w:color w:val="FFFFFF"/>
                <w:sz w:val="20"/>
                <w:szCs w:val="20"/>
              </w:rPr>
              <w:t xml:space="preserve">Typical range</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Building the first version (MVP)</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$25,000–75,000 (simple); more with a polished UI</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Developer rates</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$25–60/hour offshore; $150–250/hour US-based</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Cloud server + relay (TURN) hosting</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$50–300/month to start; grows with usage</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Windows code-signing certificate</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~$200–500/year</w:t>
            </w:r>
          </w:p>
        </w:tc>
      </w:tr>
      <w:tr>
        <w:trPr>
          <w:tblHeader w:val="false"/>
        </w:trPr>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Ongoing infrastructure as you grow</w:t>
            </w:r>
          </w:p>
        </w:tc>
        <w:tc>
          <w:tcPr>
            <w:tcW w:type="dxa" w:w="46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b w:val="false"/>
                <w:bCs w:val="false"/>
                <w:color w:val="000000"/>
                <w:sz w:val="20"/>
                <w:szCs w:val="20"/>
              </w:rPr>
              <w:t xml:space="preserve">$500–10,000/month depending on scale</w:t>
            </w:r>
          </w:p>
        </w:tc>
      </w:tr>
    </w:tbl>
    <w:p>
      <w:pPr>
        <w:spacing w:after="120"/>
      </w:pPr>
      <w:r>
        <w:rPr>
          <w:b/>
          <w:bCs/>
        </w:rPr>
        <w:t xml:space="preserve">The cheapest path to validate the idea is to keep spending near zero until discovery (Part B, Phase 1) confirms people want it. The demo you have is enough to run those conversations.</w:t>
      </w:r>
    </w:p>
    <w:p>
      <w:pPr>
        <w:pStyle w:val="Heading2"/>
      </w:pPr>
      <w:r>
        <w:t xml:space="preserve">13. The build-vs-buy decision</w:t>
      </w:r>
    </w:p>
    <w:p>
      <w:pPr>
        <w:spacing w:after="120"/>
      </w:pPr>
      <w:r>
        <w:t xml:space="preserve">Before committing to building everything from scratch, weigh three honest options:</w:t>
      </w:r>
    </w:p>
    <w:p>
      <w:pPr>
        <w:pStyle w:val="ListParagraph"/>
        <w:numPr>
          <w:ilvl w:val="0"/>
          <w:numId w:val="2"/>
        </w:numPr>
        <w:spacing w:after="60"/>
      </w:pPr>
      <w:r>
        <w:rPr>
          <w:b/>
          <w:bCs/>
        </w:rPr>
        <w:t xml:space="preserve">Build from scratch.</w:t>
      </w:r>
      <w:r>
        <w:t xml:space="preserve"> Maximum control and the best long-term margins, but you own all three hard parts and the ongoing operations. Right if this is the company you are building.</w:t>
      </w:r>
    </w:p>
    <w:p>
      <w:pPr>
        <w:pStyle w:val="ListParagraph"/>
        <w:numPr>
          <w:ilvl w:val="0"/>
          <w:numId w:val="2"/>
        </w:numPr>
        <w:spacing w:after="60"/>
      </w:pPr>
      <w:r>
        <w:rPr>
          <w:b/>
          <w:bCs/>
        </w:rPr>
        <w:t xml:space="preserve">Build on open-source foundations.</w:t>
      </w:r>
      <w:r>
        <w:t xml:space="preserve"> Projects like RustDesk are open source. You could start from proven connection technology and focus your effort on the product, pricing, and support that those projects do poorly. This can cut the hardest engineering substantially. Check each project's license for commercial use.</w:t>
      </w:r>
    </w:p>
    <w:p>
      <w:pPr>
        <w:pStyle w:val="ListParagraph"/>
        <w:numPr>
          <w:ilvl w:val="0"/>
          <w:numId w:val="2"/>
        </w:numPr>
        <w:spacing w:after="60"/>
      </w:pPr>
      <w:r>
        <w:rPr>
          <w:b/>
          <w:bCs/>
        </w:rPr>
        <w:t xml:space="preserve">Resell or white-label.</w:t>
      </w:r>
      <w:r>
        <w:t xml:space="preserve"> Some remote-access engines can be licensed and rebranded. Fastest to market, lowest engineering need, but thinner margins and less control.</w:t>
      </w:r>
    </w:p>
    <w:p>
      <w:pPr>
        <w:spacing w:after="120"/>
      </w:pPr>
      <w:r>
        <w:t xml:space="preserve">For a product analyst validating a market, option 2 is often the smartest middle path: it lets you test the “fair pricing + reliability + support” positioning without rebuilding the hardest infrastructure first.</w:t>
      </w:r>
    </w:p>
    <w:p>
      <w:pPr>
        <w:pStyle w:val="Heading2"/>
      </w:pPr>
      <w:r>
        <w:t xml:space="preserve">14. Recommended next steps</w:t>
      </w:r>
    </w:p>
    <w:p>
      <w:pPr>
        <w:pStyle w:val="ListParagraph"/>
        <w:numPr>
          <w:ilvl w:val="0"/>
          <w:numId w:val="2"/>
        </w:numPr>
        <w:spacing w:after="60"/>
      </w:pPr>
      <w:r>
        <w:rPr>
          <w:b/>
          <w:bCs/>
        </w:rPr>
        <w:t xml:space="preserve">Use the demo to sell the vision, not the software.</w:t>
      </w:r>
      <w:r>
        <w:t xml:space="preserve"> Record a 2-minute screen capture of the working flow for your customer interviews.</w:t>
      </w:r>
    </w:p>
    <w:p>
      <w:pPr>
        <w:pStyle w:val="ListParagraph"/>
        <w:numPr>
          <w:ilvl w:val="0"/>
          <w:numId w:val="2"/>
        </w:numPr>
        <w:spacing w:after="60"/>
      </w:pPr>
      <w:r>
        <w:rPr>
          <w:b/>
          <w:bCs/>
        </w:rPr>
        <w:t xml:space="preserve">Run discovery.</w:t>
      </w:r>
      <w:r>
        <w:t xml:space="preserve"> Interview 15 IT admins. Validate the pain, the price, and whether self-hosting matters. This decides everything that follows.</w:t>
      </w:r>
    </w:p>
    <w:p>
      <w:pPr>
        <w:pStyle w:val="ListParagraph"/>
        <w:numPr>
          <w:ilvl w:val="0"/>
          <w:numId w:val="2"/>
        </w:numPr>
        <w:spacing w:after="60"/>
      </w:pPr>
      <w:r>
        <w:rPr>
          <w:b/>
          <w:bCs/>
        </w:rPr>
        <w:t xml:space="preserve">Decide build-vs-buy</w:t>
      </w:r>
      <w:r>
        <w:t xml:space="preserve"> based on what you hear and the budget you can commit.</w:t>
      </w:r>
    </w:p>
    <w:p>
      <w:pPr>
        <w:pStyle w:val="ListParagraph"/>
        <w:numPr>
          <w:ilvl w:val="0"/>
          <w:numId w:val="2"/>
        </w:numPr>
        <w:spacing w:after="60"/>
      </w:pPr>
      <w:r>
        <w:rPr>
          <w:b/>
          <w:bCs/>
        </w:rPr>
        <w:t xml:space="preserve">Bring in one technical partner</w:t>
      </w:r>
      <w:r>
        <w:t xml:space="preserve"> (co-founder, contractor, or agency) and hand them Part A of this document plus the existing codebase.</w:t>
      </w:r>
    </w:p>
    <w:p>
      <w:pPr>
        <w:spacing w:after="120"/>
      </w:pPr>
      <w:r>
        <w:rPr>
          <w:b/>
          <w:bCs/>
        </w:rPr>
        <w:t xml:space="preserve">The most valuable thing you can do this month costs almost nothing: talk to 15 potential customers with the demo in hand. Everything in Part B can wait until that tells you to proceed.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Remote Access Platform — PRD &amp; Build Plan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Calibri" w:cs="Calibri" w:eastAsia="Calibri" w:hAnsi="Calibri"/>
      <w:b/>
      <w:bCs/>
      <w:color w:val="1E40AF"/>
      <w:sz w:val="30"/>
      <w:szCs w:val="30"/>
    </w:rPr>
  </w:style>
  <w:style w:type="paragraph" w:styleId="Heading2">
    <w:name w:val="Heading 2"/>
    <w:basedOn w:val="Normal"/>
    <w:next w:val="Normal"/>
    <w:qFormat/>
    <w:pPr>
      <w:spacing w:after="120" w:before="220"/>
      <w:outlineLvl w:val="1"/>
    </w:pPr>
    <w:rPr>
      <w:rFonts w:ascii="Calibri" w:cs="Calibri" w:eastAsia="Calibri" w:hAnsi="Calibri"/>
      <w:b/>
      <w:bCs/>
      <w:color w:val="1E293B"/>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Access Platform — PRD &amp; Build Plan</dc:title>
  <dc:creator>Sriram</dc:creator>
  <cp:lastModifiedBy>Un-named</cp:lastModifiedBy>
  <cp:revision>1</cp:revision>
  <dcterms:created xsi:type="dcterms:W3CDTF">2026-06-04T12:32:58.955Z</dcterms:created>
  <dcterms:modified xsi:type="dcterms:W3CDTF">2026-06-04T12:32:58.956Z</dcterms:modified>
</cp:coreProperties>
</file>

<file path=docProps/custom.xml><?xml version="1.0" encoding="utf-8"?>
<Properties xmlns="http://schemas.openxmlformats.org/officeDocument/2006/custom-properties" xmlns:vt="http://schemas.openxmlformats.org/officeDocument/2006/docPropsVTypes"/>
</file>